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9E75" w14:textId="77777777" w:rsidR="00ED4598" w:rsidRDefault="00ED4598" w:rsidP="00ED4598">
      <w:pPr>
        <w:spacing w:after="105" w:line="750" w:lineRule="atLeast"/>
        <w:outlineLvl w:val="0"/>
        <w:rPr>
          <w:rFonts w:ascii="Lora" w:eastAsia="Times New Roman" w:hAnsi="Lora" w:cs="Times New Roman"/>
          <w:color w:val="111111"/>
          <w:kern w:val="36"/>
          <w:sz w:val="62"/>
          <w:szCs w:val="62"/>
          <w:lang w:eastAsia="it-IT"/>
        </w:rPr>
      </w:pPr>
    </w:p>
    <w:p w14:paraId="44444D73" w14:textId="02E1F340" w:rsidR="00ED4598" w:rsidRDefault="00ED4598" w:rsidP="00ED4598">
      <w:pPr>
        <w:spacing w:after="105" w:line="750" w:lineRule="atLeast"/>
        <w:outlineLvl w:val="0"/>
        <w:rPr>
          <w:rFonts w:ascii="Lora" w:eastAsia="Times New Roman" w:hAnsi="Lora" w:cs="Times New Roman"/>
          <w:color w:val="111111"/>
          <w:kern w:val="36"/>
          <w:sz w:val="62"/>
          <w:szCs w:val="62"/>
          <w:lang w:eastAsia="it-IT"/>
        </w:rPr>
      </w:pPr>
      <w:r>
        <w:rPr>
          <w:rFonts w:ascii="Lora" w:hAnsi="Lora"/>
          <w:noProof/>
          <w:color w:val="111111"/>
          <w:kern w:val="36"/>
          <w:sz w:val="62"/>
          <w:szCs w:val="62"/>
        </w:rPr>
        <w:drawing>
          <wp:inline distT="0" distB="0" distL="0" distR="0" wp14:anchorId="313DA356" wp14:editId="24AFDFDB">
            <wp:extent cx="2846705" cy="15982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E937" w14:textId="41CBD8AD" w:rsidR="00ED4598" w:rsidRPr="00ED4598" w:rsidRDefault="00ED4598" w:rsidP="00ED4598">
      <w:pPr>
        <w:spacing w:after="105" w:line="750" w:lineRule="atLeast"/>
        <w:outlineLvl w:val="0"/>
        <w:rPr>
          <w:rFonts w:ascii="Lora" w:eastAsia="Times New Roman" w:hAnsi="Lora" w:cs="Times New Roman"/>
          <w:color w:val="111111"/>
          <w:kern w:val="36"/>
          <w:sz w:val="62"/>
          <w:szCs w:val="62"/>
          <w:lang w:eastAsia="it-IT"/>
        </w:rPr>
      </w:pPr>
      <w:r w:rsidRPr="00ED4598">
        <w:rPr>
          <w:rFonts w:ascii="Lora" w:eastAsia="Times New Roman" w:hAnsi="Lora" w:cs="Times New Roman"/>
          <w:color w:val="111111"/>
          <w:kern w:val="36"/>
          <w:sz w:val="62"/>
          <w:szCs w:val="62"/>
          <w:lang w:eastAsia="it-IT"/>
        </w:rPr>
        <w:t>Costa degli Etruschi: “linee guida Inail inapplicabili”</w:t>
      </w:r>
    </w:p>
    <w:p w14:paraId="0F02A79E" w14:textId="77777777" w:rsidR="00ED4598" w:rsidRPr="00ED4598" w:rsidRDefault="00ED4598" w:rsidP="00ED4598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ED4598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14 Maggio 2020</w:t>
      </w:r>
    </w:p>
    <w:p w14:paraId="73E51A8F" w14:textId="77777777" w:rsidR="00ED4598" w:rsidRPr="00ED4598" w:rsidRDefault="00ED4598" w:rsidP="00ED4598">
      <w:pPr>
        <w:spacing w:before="405" w:after="255" w:line="450" w:lineRule="atLeast"/>
        <w:outlineLvl w:val="2"/>
        <w:rPr>
          <w:rFonts w:ascii="Rubik" w:eastAsia="Times New Roman" w:hAnsi="Rubik" w:cs="Times New Roman"/>
          <w:color w:val="FF5000"/>
          <w:sz w:val="33"/>
          <w:szCs w:val="33"/>
          <w:lang w:eastAsia="it-IT"/>
        </w:rPr>
      </w:pPr>
      <w:r w:rsidRPr="00ED4598">
        <w:rPr>
          <w:rFonts w:ascii="Rubik" w:eastAsia="Times New Roman" w:hAnsi="Rubik" w:cs="Times New Roman"/>
          <w:color w:val="FF5000"/>
          <w:sz w:val="33"/>
          <w:szCs w:val="33"/>
          <w:lang w:eastAsia="it-IT"/>
        </w:rPr>
        <w:t>L’Ambito turistico Costa degli Etruschi, che in Toscana comprende località balneari quali San Vincenzo, Baratti, Castiglioncello, Donoratico e Vada (Livorno): Le misure di sicurezza proposte sono “assolutamente inapplicabili -perché non consentono agli stabilimenti di garantire la sostenibilità economica delle loro imprese”</w:t>
      </w:r>
    </w:p>
    <w:p w14:paraId="3738C8B3" w14:textId="77777777" w:rsidR="00ED4598" w:rsidRPr="00ED4598" w:rsidRDefault="00ED4598" w:rsidP="00ED4598">
      <w:pPr>
        <w:spacing w:after="390" w:line="390" w:lineRule="atLeast"/>
        <w:rPr>
          <w:rFonts w:ascii="Rubik" w:eastAsia="Times New Roman" w:hAnsi="Rubik" w:cs="Times New Roman"/>
          <w:color w:val="222222"/>
          <w:sz w:val="23"/>
          <w:szCs w:val="23"/>
          <w:lang w:eastAsia="it-IT"/>
        </w:rPr>
      </w:pPr>
      <w:r w:rsidRPr="00ED4598">
        <w:rPr>
          <w:rFonts w:ascii="Rubik" w:eastAsia="Times New Roman" w:hAnsi="Rubik" w:cs="Times New Roman"/>
          <w:color w:val="222222"/>
          <w:sz w:val="23"/>
          <w:szCs w:val="23"/>
          <w:lang w:eastAsia="it-IT"/>
        </w:rPr>
        <w:t>Le linee guida del documento tecnico prodotto da Inail e Iss, anche per la cosiddetta Fase 2, sono “completamente inapplicabili e, purtroppo, basate su ipotesi lontanissime dalla realtà dei luoghi, degli ambienti e delle attività legate a tutto il comparto turistico della costa, in particolare per la balneazione e la ristorazione”. Lo afferma in una nota l’Ambito turistico Costa degli Etruschi, che in Toscana comprende località balneari quali San Vincenzo, Baratti, Castiglioncello, Donoratico e Vada (Livorno).</w:t>
      </w:r>
      <w:r w:rsidRPr="00ED4598">
        <w:rPr>
          <w:rFonts w:ascii="Rubik" w:eastAsia="Times New Roman" w:hAnsi="Rubik" w:cs="Times New Roman"/>
          <w:color w:val="222222"/>
          <w:sz w:val="23"/>
          <w:szCs w:val="23"/>
          <w:lang w:eastAsia="it-IT"/>
        </w:rPr>
        <w:br/>
        <w:t>Le misure di sicurezza proposte sono “assolutamente inapplicabili – sostiene l’Ambito, che chiede una revisione sostanziale – perché non consentono agli stabilimenti di garantire la sostenibilità economica delle loro imprese, considerando per di più gli aggravi di costo derivanti dalle norme su controlli e sanificazioni”.</w:t>
      </w:r>
      <w:r w:rsidRPr="00ED4598">
        <w:rPr>
          <w:rFonts w:ascii="Rubik" w:eastAsia="Times New Roman" w:hAnsi="Rubik" w:cs="Times New Roman"/>
          <w:color w:val="222222"/>
          <w:sz w:val="23"/>
          <w:szCs w:val="23"/>
          <w:lang w:eastAsia="it-IT"/>
        </w:rPr>
        <w:br/>
        <w:t xml:space="preserve">Per le spiagge libere, inoltre, gli amministratori dell’area concordano sulla “inapplicabilità delle indicazioni riguardanti la mappatura e il tracciamento del perimetro di ogni postazione con ombrellone. Questa misura di prevenzione è inattuabile su lunghissimi arenili di vari km oppure sulle scogliere dei nostri litorali, spesso preceduti da zone verdi, pinete, parchi costieri che </w:t>
      </w:r>
      <w:r w:rsidRPr="00ED4598">
        <w:rPr>
          <w:rFonts w:ascii="Rubik" w:eastAsia="Times New Roman" w:hAnsi="Rubik" w:cs="Times New Roman"/>
          <w:color w:val="222222"/>
          <w:sz w:val="23"/>
          <w:szCs w:val="23"/>
          <w:lang w:eastAsia="it-IT"/>
        </w:rPr>
        <w:lastRenderedPageBreak/>
        <w:t>rendono impossibile, salvo rari casi, il controllo degli accessi e quindi qualunque forma di turnazione o prenotazione”.</w:t>
      </w:r>
    </w:p>
    <w:p w14:paraId="6AACDCC1" w14:textId="77777777" w:rsidR="008570F2" w:rsidRDefault="008570F2"/>
    <w:sectPr w:rsidR="008570F2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98"/>
    <w:rsid w:val="008570F2"/>
    <w:rsid w:val="00DB67CB"/>
    <w:rsid w:val="00E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055"/>
  <w15:chartTrackingRefBased/>
  <w15:docId w15:val="{79A6E9BA-C734-46B4-921F-A0DFA91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01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2021-01-07T18:28:00Z</dcterms:created>
  <dcterms:modified xsi:type="dcterms:W3CDTF">2021-01-07T18:29:00Z</dcterms:modified>
</cp:coreProperties>
</file>