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BC59" w14:textId="7A8B781E" w:rsidR="008A729F" w:rsidRDefault="008A729F" w:rsidP="003E6D12">
      <w:r>
        <w:rPr>
          <w:noProof/>
        </w:rPr>
        <w:drawing>
          <wp:inline distT="0" distB="0" distL="0" distR="0" wp14:anchorId="2A4C745D" wp14:editId="4CA916C7">
            <wp:extent cx="6120130" cy="3441210"/>
            <wp:effectExtent l="0" t="0" r="0" b="6985"/>
            <wp:docPr id="26" name="Immagine 26" descr="Toscana Eventi &amp;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scana Eventi &amp;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441210"/>
                    </a:xfrm>
                    <a:prstGeom prst="rect">
                      <a:avLst/>
                    </a:prstGeom>
                    <a:noFill/>
                    <a:ln>
                      <a:noFill/>
                    </a:ln>
                  </pic:spPr>
                </pic:pic>
              </a:graphicData>
            </a:graphic>
          </wp:inline>
        </w:drawing>
      </w:r>
    </w:p>
    <w:p w14:paraId="41BB4DC3" w14:textId="26EB928C" w:rsidR="008A729F" w:rsidRDefault="003E6D12" w:rsidP="008A729F">
      <w:r>
        <w:rPr>
          <w:noProof/>
        </w:rPr>
        <w:drawing>
          <wp:inline distT="0" distB="0" distL="0" distR="0" wp14:anchorId="45F8B46E" wp14:editId="712EAE8F">
            <wp:extent cx="4190365" cy="314896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3148965"/>
                    </a:xfrm>
                    <a:prstGeom prst="rect">
                      <a:avLst/>
                    </a:prstGeom>
                    <a:noFill/>
                    <a:ln>
                      <a:noFill/>
                    </a:ln>
                  </pic:spPr>
                </pic:pic>
              </a:graphicData>
            </a:graphic>
          </wp:inline>
        </w:drawing>
      </w:r>
    </w:p>
    <w:p w14:paraId="47065026" w14:textId="77777777" w:rsidR="003E6D12" w:rsidRPr="003E6D12" w:rsidRDefault="003E6D12" w:rsidP="003E6D12">
      <w:pPr>
        <w:pBdr>
          <w:bottom w:val="single" w:sz="6" w:space="5" w:color="EAEAEA"/>
        </w:pBdr>
        <w:spacing w:before="150" w:after="105" w:line="240" w:lineRule="auto"/>
        <w:outlineLvl w:val="0"/>
        <w:rPr>
          <w:rFonts w:ascii="Arial" w:eastAsia="Times New Roman" w:hAnsi="Arial" w:cs="Arial"/>
          <w:b/>
          <w:bCs/>
          <w:color w:val="424347"/>
          <w:kern w:val="36"/>
          <w:sz w:val="39"/>
          <w:szCs w:val="39"/>
          <w:lang w:eastAsia="it-IT"/>
        </w:rPr>
      </w:pPr>
      <w:r w:rsidRPr="003E6D12">
        <w:rPr>
          <w:rFonts w:ascii="Arial" w:eastAsia="Times New Roman" w:hAnsi="Arial" w:cs="Arial"/>
          <w:b/>
          <w:bCs/>
          <w:color w:val="424347"/>
          <w:kern w:val="36"/>
          <w:sz w:val="39"/>
          <w:szCs w:val="39"/>
          <w:lang w:eastAsia="it-IT"/>
        </w:rPr>
        <w:t>Consulta dell’Ambito Turistico Costa degli Etruschi: definito il profilo dei prodotti turistici per il catalogo 2021. Integrare l’offerta turistica e migliorare la visibilità della destinazione</w:t>
      </w:r>
    </w:p>
    <w:p w14:paraId="583D94C0" w14:textId="77777777" w:rsidR="003E6D12" w:rsidRPr="003E6D12" w:rsidRDefault="003E6D12" w:rsidP="003E6D12">
      <w:pPr>
        <w:spacing w:line="240" w:lineRule="auto"/>
        <w:rPr>
          <w:rFonts w:ascii="Times New Roman" w:eastAsia="Times New Roman" w:hAnsi="Times New Roman" w:cs="Times New Roman"/>
          <w:sz w:val="24"/>
          <w:szCs w:val="24"/>
          <w:lang w:eastAsia="it-IT"/>
        </w:rPr>
      </w:pPr>
      <w:hyperlink r:id="rId7" w:history="1">
        <w:r w:rsidRPr="003E6D12">
          <w:rPr>
            <w:rFonts w:ascii="Times New Roman" w:eastAsia="Times New Roman" w:hAnsi="Times New Roman" w:cs="Times New Roman"/>
            <w:color w:val="838282"/>
            <w:sz w:val="20"/>
            <w:szCs w:val="20"/>
            <w:u w:val="single"/>
            <w:lang w:eastAsia="it-IT"/>
          </w:rPr>
          <w:t>22/11/2020</w:t>
        </w:r>
      </w:hyperlink>
      <w:hyperlink r:id="rId8" w:history="1">
        <w:r w:rsidRPr="003E6D12">
          <w:rPr>
            <w:rFonts w:ascii="Times New Roman" w:eastAsia="Times New Roman" w:hAnsi="Times New Roman" w:cs="Times New Roman"/>
            <w:color w:val="838282"/>
            <w:sz w:val="20"/>
            <w:szCs w:val="20"/>
            <w:u w:val="single"/>
            <w:lang w:eastAsia="it-IT"/>
          </w:rPr>
          <w:t>Focus</w:t>
        </w:r>
      </w:hyperlink>
      <w:r w:rsidRPr="003E6D12">
        <w:rPr>
          <w:rFonts w:ascii="Times New Roman" w:eastAsia="Times New Roman" w:hAnsi="Times New Roman" w:cs="Times New Roman"/>
          <w:color w:val="838282"/>
          <w:sz w:val="20"/>
          <w:szCs w:val="20"/>
          <w:lang w:eastAsia="it-IT"/>
        </w:rPr>
        <w:t>, </w:t>
      </w:r>
      <w:hyperlink r:id="rId9" w:history="1">
        <w:r w:rsidRPr="003E6D12">
          <w:rPr>
            <w:rFonts w:ascii="Times New Roman" w:eastAsia="Times New Roman" w:hAnsi="Times New Roman" w:cs="Times New Roman"/>
            <w:color w:val="838282"/>
            <w:sz w:val="20"/>
            <w:szCs w:val="20"/>
            <w:u w:val="single"/>
            <w:lang w:eastAsia="it-IT"/>
          </w:rPr>
          <w:t>Livorno</w:t>
        </w:r>
      </w:hyperlink>
    </w:p>
    <w:p w14:paraId="4D806683"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Georgia" w:eastAsia="Times New Roman" w:hAnsi="Georgia" w:cs="Arial"/>
          <w:color w:val="4C4C4C"/>
          <w:sz w:val="24"/>
          <w:szCs w:val="24"/>
          <w:lang w:eastAsia="it-IT"/>
        </w:rPr>
        <w:t>Privilegiare le azioni sul mercato nazionale con particolare attenzione al nostro territorio, attraverso l’organizzazione di workshop ed educational tour per blogger, giornalisti stranieri e tour operator. I 15 Comuni dell’</w:t>
      </w:r>
      <w:r w:rsidRPr="003E6D12">
        <w:rPr>
          <w:rFonts w:ascii="Georgia" w:eastAsia="Times New Roman" w:hAnsi="Georgia" w:cs="Arial"/>
          <w:b/>
          <w:bCs/>
          <w:color w:val="4C4C4C"/>
          <w:sz w:val="24"/>
          <w:szCs w:val="24"/>
          <w:lang w:eastAsia="it-IT"/>
        </w:rPr>
        <w:t xml:space="preserve">Ambito Turistico Costa degli </w:t>
      </w:r>
      <w:r w:rsidRPr="003E6D12">
        <w:rPr>
          <w:rFonts w:ascii="Georgia" w:eastAsia="Times New Roman" w:hAnsi="Georgia" w:cs="Arial"/>
          <w:b/>
          <w:bCs/>
          <w:color w:val="4C4C4C"/>
          <w:sz w:val="24"/>
          <w:szCs w:val="24"/>
          <w:lang w:eastAsia="it-IT"/>
        </w:rPr>
        <w:lastRenderedPageBreak/>
        <w:t>Etruschi</w:t>
      </w:r>
      <w:r w:rsidRPr="003E6D12">
        <w:rPr>
          <w:rFonts w:ascii="Georgia" w:eastAsia="Times New Roman" w:hAnsi="Georgia" w:cs="Arial"/>
          <w:color w:val="4C4C4C"/>
          <w:sz w:val="24"/>
          <w:szCs w:val="24"/>
          <w:lang w:eastAsia="it-IT"/>
        </w:rPr>
        <w:t> hanno esposto alla </w:t>
      </w:r>
      <w:r w:rsidRPr="003E6D12">
        <w:rPr>
          <w:rFonts w:ascii="Georgia" w:eastAsia="Times New Roman" w:hAnsi="Georgia" w:cs="Arial"/>
          <w:b/>
          <w:bCs/>
          <w:color w:val="4C4C4C"/>
          <w:sz w:val="24"/>
          <w:szCs w:val="24"/>
          <w:lang w:eastAsia="it-IT"/>
        </w:rPr>
        <w:t>Consulta dell’Osservatorio</w:t>
      </w:r>
      <w:r w:rsidRPr="003E6D12">
        <w:rPr>
          <w:rFonts w:ascii="Georgia" w:eastAsia="Times New Roman" w:hAnsi="Georgia" w:cs="Arial"/>
          <w:color w:val="4C4C4C"/>
          <w:sz w:val="24"/>
          <w:szCs w:val="24"/>
          <w:lang w:eastAsia="it-IT"/>
        </w:rPr>
        <w:t>, le </w:t>
      </w:r>
      <w:r w:rsidRPr="003E6D12">
        <w:rPr>
          <w:rFonts w:ascii="Georgia" w:eastAsia="Times New Roman" w:hAnsi="Georgia" w:cs="Arial"/>
          <w:b/>
          <w:bCs/>
          <w:color w:val="4C4C4C"/>
          <w:sz w:val="24"/>
          <w:szCs w:val="24"/>
          <w:lang w:eastAsia="it-IT"/>
        </w:rPr>
        <w:t>attività previste per il 2021</w:t>
      </w:r>
      <w:r w:rsidRPr="003E6D12">
        <w:rPr>
          <w:rFonts w:ascii="Georgia" w:eastAsia="Times New Roman" w:hAnsi="Georgia" w:cs="Arial"/>
          <w:color w:val="4C4C4C"/>
          <w:sz w:val="24"/>
          <w:szCs w:val="24"/>
          <w:lang w:eastAsia="it-IT"/>
        </w:rPr>
        <w:t> per la promozione e l’organizzazione dell’offerta turistica.  </w:t>
      </w:r>
    </w:p>
    <w:p w14:paraId="51E9847C"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Arial" w:eastAsia="Times New Roman" w:hAnsi="Arial" w:cs="Arial"/>
          <w:noProof/>
          <w:color w:val="4C4C4C"/>
          <w:sz w:val="21"/>
          <w:szCs w:val="21"/>
          <w:lang w:eastAsia="it-IT"/>
        </w:rPr>
        <w:drawing>
          <wp:inline distT="0" distB="0" distL="0" distR="0" wp14:anchorId="3E1A29BD" wp14:editId="0CC01A45">
            <wp:extent cx="4946015" cy="3729355"/>
            <wp:effectExtent l="0" t="0" r="698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015" cy="3729355"/>
                    </a:xfrm>
                    <a:prstGeom prst="rect">
                      <a:avLst/>
                    </a:prstGeom>
                    <a:noFill/>
                    <a:ln>
                      <a:noFill/>
                    </a:ln>
                  </pic:spPr>
                </pic:pic>
              </a:graphicData>
            </a:graphic>
          </wp:inline>
        </w:drawing>
      </w:r>
    </w:p>
    <w:p w14:paraId="068C5B2C"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Arial" w:eastAsia="Times New Roman" w:hAnsi="Arial" w:cs="Arial"/>
          <w:color w:val="4C4C4C"/>
          <w:sz w:val="21"/>
          <w:szCs w:val="21"/>
          <w:lang w:eastAsia="it-IT"/>
        </w:rPr>
        <w:t> </w:t>
      </w:r>
    </w:p>
    <w:p w14:paraId="51925D75"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Georgia" w:eastAsia="Times New Roman" w:hAnsi="Georgia" w:cs="Arial"/>
          <w:color w:val="4C4C4C"/>
          <w:sz w:val="24"/>
          <w:szCs w:val="24"/>
          <w:lang w:eastAsia="it-IT"/>
        </w:rPr>
        <w:t>Dopo l’introduzione di </w:t>
      </w:r>
      <w:r w:rsidRPr="003E6D12">
        <w:rPr>
          <w:rFonts w:ascii="Georgia" w:eastAsia="Times New Roman" w:hAnsi="Georgia" w:cs="Arial"/>
          <w:b/>
          <w:bCs/>
          <w:color w:val="4C4C4C"/>
          <w:sz w:val="24"/>
          <w:szCs w:val="24"/>
          <w:lang w:eastAsia="it-IT"/>
        </w:rPr>
        <w:t>Serena Malfatti</w:t>
      </w:r>
      <w:r w:rsidRPr="003E6D12">
        <w:rPr>
          <w:rFonts w:ascii="Georgia" w:eastAsia="Times New Roman" w:hAnsi="Georgia" w:cs="Arial"/>
          <w:color w:val="4C4C4C"/>
          <w:sz w:val="24"/>
          <w:szCs w:val="24"/>
          <w:lang w:eastAsia="it-IT"/>
        </w:rPr>
        <w:t>, assessore di San Vincenzo che è il Comune capofila dell’ambito, </w:t>
      </w:r>
      <w:r w:rsidRPr="003E6D12">
        <w:rPr>
          <w:rFonts w:ascii="Georgia" w:eastAsia="Times New Roman" w:hAnsi="Georgia" w:cs="Arial"/>
          <w:b/>
          <w:bCs/>
          <w:color w:val="4C4C4C"/>
          <w:sz w:val="24"/>
          <w:szCs w:val="24"/>
          <w:lang w:eastAsia="it-IT"/>
        </w:rPr>
        <w:t>Alessandro Tortelli</w:t>
      </w:r>
      <w:r w:rsidRPr="003E6D12">
        <w:rPr>
          <w:rFonts w:ascii="Georgia" w:eastAsia="Times New Roman" w:hAnsi="Georgia" w:cs="Arial"/>
          <w:color w:val="4C4C4C"/>
          <w:sz w:val="24"/>
          <w:szCs w:val="24"/>
          <w:lang w:eastAsia="it-IT"/>
        </w:rPr>
        <w:t> del Centro Studi Turistici di Firenze, ha esposto le previsioni sull’andamento del mercato turistico nel 2021 e le conseguenze sui principali strumenti di promozione, specificando l’orientamento dell’ambito.</w:t>
      </w:r>
      <w:r w:rsidRPr="003E6D12">
        <w:rPr>
          <w:rFonts w:ascii="Georgia" w:eastAsia="Times New Roman" w:hAnsi="Georgia" w:cs="Arial"/>
          <w:b/>
          <w:bCs/>
          <w:color w:val="4C4C4C"/>
          <w:sz w:val="24"/>
          <w:szCs w:val="24"/>
          <w:lang w:eastAsia="it-IT"/>
        </w:rPr>
        <w:t> Il catalogo dei prodotti turistici che andranno a confluire nel catalogo regionale, diviso per aree di prodotto, è stato definito dall’Ambito in collaborazione con il centro studi turistici, che ha anche specificato i mercati regionali italiani ed europei su cui agire con specifiche strategie ed azioni in collaborazione anche con Toscana Promozione Turistica.</w:t>
      </w:r>
      <w:r w:rsidRPr="003E6D12">
        <w:rPr>
          <w:rFonts w:ascii="Georgia" w:eastAsia="Times New Roman" w:hAnsi="Georgia" w:cs="Arial"/>
          <w:color w:val="4C4C4C"/>
          <w:sz w:val="24"/>
          <w:szCs w:val="24"/>
          <w:lang w:eastAsia="it-IT"/>
        </w:rPr>
        <w:t> Sono stati circa 50 partecipanti alla Consulta riunita appunto per discutere le attività da svolgere in vista della prossima stagione, per integrare l’offerta turistica. Metà dei partecipanti erano rappresentanti dei comuni dell’ambito e metà invece erano privati come le associazioni di categoria, le Proloco, enti vari come la Parchi val di Cornia o i gestori di uffici d’informazione e accoglienza turistica.</w:t>
      </w:r>
    </w:p>
    <w:p w14:paraId="77182D5D"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Georgia" w:eastAsia="Times New Roman" w:hAnsi="Georgia" w:cs="Arial"/>
          <w:color w:val="4C4C4C"/>
          <w:sz w:val="24"/>
          <w:szCs w:val="24"/>
          <w:lang w:eastAsia="it-IT"/>
        </w:rPr>
        <w:t>Tra i temi sollevati dai partecipanti quello, della </w:t>
      </w:r>
      <w:r w:rsidRPr="003E6D12">
        <w:rPr>
          <w:rFonts w:ascii="Georgia" w:eastAsia="Times New Roman" w:hAnsi="Georgia" w:cs="Arial"/>
          <w:b/>
          <w:bCs/>
          <w:color w:val="4C4C4C"/>
          <w:sz w:val="24"/>
          <w:szCs w:val="24"/>
          <w:lang w:eastAsia="it-IT"/>
        </w:rPr>
        <w:t>mobilità sostenibile</w:t>
      </w:r>
      <w:r w:rsidRPr="003E6D12">
        <w:rPr>
          <w:rFonts w:ascii="Georgia" w:eastAsia="Times New Roman" w:hAnsi="Georgia" w:cs="Arial"/>
          <w:color w:val="4C4C4C"/>
          <w:sz w:val="24"/>
          <w:szCs w:val="24"/>
          <w:lang w:eastAsia="it-IT"/>
        </w:rPr>
        <w:t> connesso a quello del</w:t>
      </w:r>
      <w:r w:rsidRPr="003E6D12">
        <w:rPr>
          <w:rFonts w:ascii="Georgia" w:eastAsia="Times New Roman" w:hAnsi="Georgia" w:cs="Arial"/>
          <w:b/>
          <w:bCs/>
          <w:color w:val="4C4C4C"/>
          <w:sz w:val="24"/>
          <w:szCs w:val="24"/>
          <w:lang w:eastAsia="it-IT"/>
        </w:rPr>
        <w:t> trasporto pubblico turistico</w:t>
      </w:r>
      <w:r w:rsidRPr="003E6D12">
        <w:rPr>
          <w:rFonts w:ascii="Georgia" w:eastAsia="Times New Roman" w:hAnsi="Georgia" w:cs="Arial"/>
          <w:color w:val="4C4C4C"/>
          <w:sz w:val="24"/>
          <w:szCs w:val="24"/>
          <w:lang w:eastAsia="it-IT"/>
        </w:rPr>
        <w:t> e quindi al tema più vasto del </w:t>
      </w:r>
      <w:r w:rsidRPr="003E6D12">
        <w:rPr>
          <w:rFonts w:ascii="Georgia" w:eastAsia="Times New Roman" w:hAnsi="Georgia" w:cs="Arial"/>
          <w:b/>
          <w:bCs/>
          <w:color w:val="4C4C4C"/>
          <w:sz w:val="24"/>
          <w:szCs w:val="24"/>
          <w:lang w:eastAsia="it-IT"/>
        </w:rPr>
        <w:t>recovery fund</w:t>
      </w:r>
      <w:r w:rsidRPr="003E6D12">
        <w:rPr>
          <w:rFonts w:ascii="Georgia" w:eastAsia="Times New Roman" w:hAnsi="Georgia" w:cs="Arial"/>
          <w:color w:val="4C4C4C"/>
          <w:sz w:val="24"/>
          <w:szCs w:val="24"/>
          <w:lang w:eastAsia="it-IT"/>
        </w:rPr>
        <w:t> in relazione a progetti per </w:t>
      </w:r>
      <w:r w:rsidRPr="003E6D12">
        <w:rPr>
          <w:rFonts w:ascii="Georgia" w:eastAsia="Times New Roman" w:hAnsi="Georgia" w:cs="Arial"/>
          <w:b/>
          <w:bCs/>
          <w:color w:val="4C4C4C"/>
          <w:sz w:val="24"/>
          <w:szCs w:val="24"/>
          <w:lang w:eastAsia="it-IT"/>
        </w:rPr>
        <w:t>servizi e infrastrutture connesse al turismo</w:t>
      </w:r>
      <w:r w:rsidRPr="003E6D12">
        <w:rPr>
          <w:rFonts w:ascii="Georgia" w:eastAsia="Times New Roman" w:hAnsi="Georgia" w:cs="Arial"/>
          <w:color w:val="4C4C4C"/>
          <w:sz w:val="24"/>
          <w:szCs w:val="24"/>
          <w:lang w:eastAsia="it-IT"/>
        </w:rPr>
        <w:t>. Un tema interessante è stato poi indicato dal gestore di uno stabilimento balneare, quello delle erosioni</w:t>
      </w:r>
      <w:r w:rsidRPr="003E6D12">
        <w:rPr>
          <w:rFonts w:ascii="Georgia" w:eastAsia="Times New Roman" w:hAnsi="Georgia" w:cs="Arial"/>
          <w:b/>
          <w:bCs/>
          <w:color w:val="4C4C4C"/>
          <w:sz w:val="24"/>
          <w:szCs w:val="24"/>
          <w:lang w:eastAsia="it-IT"/>
        </w:rPr>
        <w:t> </w:t>
      </w:r>
      <w:r w:rsidRPr="003E6D12">
        <w:rPr>
          <w:rFonts w:ascii="Georgia" w:eastAsia="Times New Roman" w:hAnsi="Georgia" w:cs="Arial"/>
          <w:color w:val="4C4C4C"/>
          <w:sz w:val="24"/>
          <w:szCs w:val="24"/>
          <w:lang w:eastAsia="it-IT"/>
        </w:rPr>
        <w:t>che colpiscono vari punti della costa. La </w:t>
      </w:r>
      <w:r w:rsidRPr="003E6D12">
        <w:rPr>
          <w:rFonts w:ascii="Georgia" w:eastAsia="Times New Roman" w:hAnsi="Georgia" w:cs="Arial"/>
          <w:b/>
          <w:bCs/>
          <w:color w:val="4C4C4C"/>
          <w:sz w:val="24"/>
          <w:szCs w:val="24"/>
          <w:lang w:eastAsia="it-IT"/>
        </w:rPr>
        <w:t>lotta all’erosione</w:t>
      </w:r>
      <w:r w:rsidRPr="003E6D12">
        <w:rPr>
          <w:rFonts w:ascii="Georgia" w:eastAsia="Times New Roman" w:hAnsi="Georgia" w:cs="Arial"/>
          <w:color w:val="4C4C4C"/>
          <w:sz w:val="24"/>
          <w:szCs w:val="24"/>
          <w:lang w:eastAsia="it-IT"/>
        </w:rPr>
        <w:t> non dovrebbe essere gestita su base emergenziale ma periodicamente a livello programmatico, da qui la richiesta di coordinare i comuni per interventi di più ampio respiro, utilizzando l’ambito anche come </w:t>
      </w:r>
      <w:r w:rsidRPr="003E6D12">
        <w:rPr>
          <w:rFonts w:ascii="Georgia" w:eastAsia="Times New Roman" w:hAnsi="Georgia" w:cs="Arial"/>
          <w:b/>
          <w:bCs/>
          <w:color w:val="4C4C4C"/>
          <w:sz w:val="24"/>
          <w:szCs w:val="24"/>
          <w:lang w:eastAsia="it-IT"/>
        </w:rPr>
        <w:t>coordinamento per temi infrastrutturali che riguardano fortemente il turismo</w:t>
      </w:r>
      <w:r w:rsidRPr="003E6D12">
        <w:rPr>
          <w:rFonts w:ascii="Georgia" w:eastAsia="Times New Roman" w:hAnsi="Georgia" w:cs="Arial"/>
          <w:color w:val="4C4C4C"/>
          <w:sz w:val="24"/>
          <w:szCs w:val="24"/>
          <w:lang w:eastAsia="it-IT"/>
        </w:rPr>
        <w:t>.</w:t>
      </w:r>
    </w:p>
    <w:p w14:paraId="75913D25" w14:textId="77777777" w:rsidR="003E6D12" w:rsidRPr="003E6D12" w:rsidRDefault="003E6D12" w:rsidP="003E6D12">
      <w:pPr>
        <w:shd w:val="clear" w:color="auto" w:fill="FFFFFF"/>
        <w:spacing w:after="300" w:line="240" w:lineRule="auto"/>
        <w:rPr>
          <w:rFonts w:ascii="Arial" w:eastAsia="Times New Roman" w:hAnsi="Arial" w:cs="Arial"/>
          <w:color w:val="4C4C4C"/>
          <w:sz w:val="21"/>
          <w:szCs w:val="21"/>
          <w:lang w:eastAsia="it-IT"/>
        </w:rPr>
      </w:pPr>
      <w:r w:rsidRPr="003E6D12">
        <w:rPr>
          <w:rFonts w:ascii="Georgia" w:eastAsia="Times New Roman" w:hAnsi="Georgia" w:cs="Arial"/>
          <w:color w:val="4C4C4C"/>
          <w:sz w:val="24"/>
          <w:szCs w:val="24"/>
          <w:lang w:eastAsia="it-IT"/>
        </w:rPr>
        <w:lastRenderedPageBreak/>
        <w:t>I membri della Consulta hanno mostrato particolare interesse anche per l’evoluzione del portale di destinazione </w:t>
      </w:r>
      <w:r w:rsidRPr="003E6D12">
        <w:rPr>
          <w:rFonts w:ascii="Georgia" w:eastAsia="Times New Roman" w:hAnsi="Georgia" w:cs="Arial"/>
          <w:b/>
          <w:bCs/>
          <w:color w:val="4C4C4C"/>
          <w:sz w:val="24"/>
          <w:szCs w:val="24"/>
          <w:lang w:eastAsia="it-IT"/>
        </w:rPr>
        <w:t>www.costadeglietruschi.eu</w:t>
      </w:r>
      <w:r w:rsidRPr="003E6D12">
        <w:rPr>
          <w:rFonts w:ascii="Georgia" w:eastAsia="Times New Roman" w:hAnsi="Georgia" w:cs="Arial"/>
          <w:color w:val="4C4C4C"/>
          <w:sz w:val="24"/>
          <w:szCs w:val="24"/>
          <w:lang w:eastAsia="it-IT"/>
        </w:rPr>
        <w:t>, illustrato dal coordinatore dell’ambito </w:t>
      </w:r>
      <w:r w:rsidRPr="003E6D12">
        <w:rPr>
          <w:rFonts w:ascii="Georgia" w:eastAsia="Times New Roman" w:hAnsi="Georgia" w:cs="Arial"/>
          <w:b/>
          <w:bCs/>
          <w:color w:val="4C4C4C"/>
          <w:sz w:val="24"/>
          <w:szCs w:val="24"/>
          <w:lang w:eastAsia="it-IT"/>
        </w:rPr>
        <w:t>Marco Pavoletti</w:t>
      </w:r>
      <w:r w:rsidRPr="003E6D12">
        <w:rPr>
          <w:rFonts w:ascii="Georgia" w:eastAsia="Times New Roman" w:hAnsi="Georgia" w:cs="Arial"/>
          <w:color w:val="4C4C4C"/>
          <w:sz w:val="24"/>
          <w:szCs w:val="24"/>
          <w:lang w:eastAsia="it-IT"/>
        </w:rPr>
        <w:t>, che sarà completato entro marzo 2021 con nuove sezioni tematiche, compresa la </w:t>
      </w:r>
      <w:r w:rsidRPr="003E6D12">
        <w:rPr>
          <w:rFonts w:ascii="Georgia" w:eastAsia="Times New Roman" w:hAnsi="Georgia" w:cs="Arial"/>
          <w:b/>
          <w:bCs/>
          <w:color w:val="4C4C4C"/>
          <w:sz w:val="24"/>
          <w:szCs w:val="24"/>
          <w:lang w:eastAsia="it-IT"/>
        </w:rPr>
        <w:t>versione in inglese</w:t>
      </w:r>
      <w:r w:rsidRPr="003E6D12">
        <w:rPr>
          <w:rFonts w:ascii="Georgia" w:eastAsia="Times New Roman" w:hAnsi="Georgia" w:cs="Arial"/>
          <w:color w:val="4C4C4C"/>
          <w:sz w:val="24"/>
          <w:szCs w:val="24"/>
          <w:lang w:eastAsia="it-IT"/>
        </w:rPr>
        <w:t xml:space="preserve">, e con nuove funzionalità sulle offerte, integrate con il portale regionale </w:t>
      </w:r>
      <w:proofErr w:type="spellStart"/>
      <w:r w:rsidRPr="003E6D12">
        <w:rPr>
          <w:rFonts w:ascii="Georgia" w:eastAsia="Times New Roman" w:hAnsi="Georgia" w:cs="Arial"/>
          <w:color w:val="4C4C4C"/>
          <w:sz w:val="24"/>
          <w:szCs w:val="24"/>
          <w:lang w:eastAsia="it-IT"/>
        </w:rPr>
        <w:t>Visittuscany</w:t>
      </w:r>
      <w:proofErr w:type="spellEnd"/>
      <w:r w:rsidRPr="003E6D12">
        <w:rPr>
          <w:rFonts w:ascii="Georgia" w:eastAsia="Times New Roman" w:hAnsi="Georgia" w:cs="Arial"/>
          <w:color w:val="4C4C4C"/>
          <w:sz w:val="24"/>
          <w:szCs w:val="24"/>
          <w:lang w:eastAsia="it-IT"/>
        </w:rPr>
        <w:t>, oltre ad una </w:t>
      </w:r>
      <w:r w:rsidRPr="003E6D12">
        <w:rPr>
          <w:rFonts w:ascii="Georgia" w:eastAsia="Times New Roman" w:hAnsi="Georgia" w:cs="Arial"/>
          <w:b/>
          <w:bCs/>
          <w:color w:val="4C4C4C"/>
          <w:sz w:val="24"/>
          <w:szCs w:val="24"/>
          <w:lang w:eastAsia="it-IT"/>
        </w:rPr>
        <w:t>nuova web app sugli itinerari outdoor</w:t>
      </w:r>
      <w:r w:rsidRPr="003E6D12">
        <w:rPr>
          <w:rFonts w:ascii="Georgia" w:eastAsia="Times New Roman" w:hAnsi="Georgia" w:cs="Arial"/>
          <w:color w:val="4C4C4C"/>
          <w:sz w:val="24"/>
          <w:szCs w:val="24"/>
          <w:lang w:eastAsia="it-IT"/>
        </w:rPr>
        <w:t> del territorio. Un’attività fondamentale per il rafforzamento dell’offerta turistica, sarà il coinvolgimento degli operatori privati per lo sviluppo di prodotti turistici e la loro promo-commercializzazione, che l’ambito vuole realizzare attraverso seminari e riunioni esclusivamente online, che saranno pubblicizzati entro fine novembre tramite un’apposita newsletter agli operatori e tramite la piattaforma collaborativa dell’ambito, realizzata proprio per agevolare il loro coinvolgimento e lo scambio di opinioni.</w:t>
      </w:r>
    </w:p>
    <w:p w14:paraId="5FE3B817" w14:textId="77777777" w:rsidR="003E6D12" w:rsidRPr="003E6D12" w:rsidRDefault="003E6D12" w:rsidP="003E6D12">
      <w:pPr>
        <w:shd w:val="clear" w:color="auto" w:fill="FFFFFF"/>
        <w:spacing w:line="240" w:lineRule="auto"/>
        <w:rPr>
          <w:rFonts w:ascii="Arial" w:eastAsia="Times New Roman" w:hAnsi="Arial" w:cs="Arial"/>
          <w:color w:val="4C4C4C"/>
          <w:sz w:val="21"/>
          <w:szCs w:val="21"/>
          <w:lang w:eastAsia="it-IT"/>
        </w:rPr>
      </w:pPr>
      <w:r w:rsidRPr="003E6D12">
        <w:rPr>
          <w:rFonts w:ascii="Georgia" w:eastAsia="Times New Roman" w:hAnsi="Georgia" w:cs="Arial"/>
          <w:color w:val="4C4C4C"/>
          <w:sz w:val="24"/>
          <w:szCs w:val="24"/>
          <w:lang w:eastAsia="it-IT"/>
        </w:rPr>
        <w:t>La Consulta è stata inoltre informata che le varie istanze dell’ambito turistico saranno esposte la prossima settimana al nuovo </w:t>
      </w:r>
      <w:r w:rsidRPr="003E6D12">
        <w:rPr>
          <w:rFonts w:ascii="Georgia" w:eastAsia="Times New Roman" w:hAnsi="Georgia" w:cs="Arial"/>
          <w:b/>
          <w:bCs/>
          <w:color w:val="4C4C4C"/>
          <w:sz w:val="24"/>
          <w:szCs w:val="24"/>
          <w:lang w:eastAsia="it-IT"/>
        </w:rPr>
        <w:t>assessore regionale al Turismo, Leonardo Marras,</w:t>
      </w:r>
      <w:r w:rsidRPr="003E6D12">
        <w:rPr>
          <w:rFonts w:ascii="Georgia" w:eastAsia="Times New Roman" w:hAnsi="Georgia" w:cs="Arial"/>
          <w:color w:val="4C4C4C"/>
          <w:sz w:val="24"/>
          <w:szCs w:val="24"/>
          <w:lang w:eastAsia="it-IT"/>
        </w:rPr>
        <w:t> in uno specifico </w:t>
      </w:r>
      <w:r w:rsidRPr="003E6D12">
        <w:rPr>
          <w:rFonts w:ascii="Georgia" w:eastAsia="Times New Roman" w:hAnsi="Georgia" w:cs="Arial"/>
          <w:b/>
          <w:bCs/>
          <w:color w:val="4C4C4C"/>
          <w:sz w:val="24"/>
          <w:szCs w:val="24"/>
          <w:lang w:eastAsia="it-IT"/>
        </w:rPr>
        <w:t>incontro</w:t>
      </w:r>
      <w:r w:rsidRPr="003E6D12">
        <w:rPr>
          <w:rFonts w:ascii="Georgia" w:eastAsia="Times New Roman" w:hAnsi="Georgia" w:cs="Arial"/>
          <w:color w:val="4C4C4C"/>
          <w:sz w:val="24"/>
          <w:szCs w:val="24"/>
          <w:lang w:eastAsia="it-IT"/>
        </w:rPr>
        <w:t> che si svolgerà </w:t>
      </w:r>
      <w:r w:rsidRPr="003E6D12">
        <w:rPr>
          <w:rFonts w:ascii="Georgia" w:eastAsia="Times New Roman" w:hAnsi="Georgia" w:cs="Arial"/>
          <w:b/>
          <w:bCs/>
          <w:color w:val="4C4C4C"/>
          <w:sz w:val="24"/>
          <w:szCs w:val="24"/>
          <w:lang w:eastAsia="it-IT"/>
        </w:rPr>
        <w:t>martedì 24 novembre 2020</w:t>
      </w:r>
      <w:r w:rsidRPr="003E6D12">
        <w:rPr>
          <w:rFonts w:ascii="Georgia" w:eastAsia="Times New Roman" w:hAnsi="Georgia" w:cs="Arial"/>
          <w:color w:val="4C4C4C"/>
          <w:sz w:val="24"/>
          <w:szCs w:val="24"/>
          <w:lang w:eastAsia="it-IT"/>
        </w:rPr>
        <w:t>, dedicato alla forte necessità di sostenere e proseguire il dialogo e il lavoro congiunto con la Regione, in un momento di grande difficoltà per il turismo, per programmare secondo scelte ragionate ed orientate al mercato, alle nuove tendenze della domanda e alla valorizzazione dei prodotti territoriali. </w:t>
      </w:r>
    </w:p>
    <w:p w14:paraId="3661BC3B" w14:textId="77777777" w:rsidR="003E6D12" w:rsidRPr="005B30ED" w:rsidRDefault="003E6D12" w:rsidP="008A729F"/>
    <w:sectPr w:rsidR="003E6D12" w:rsidRPr="005B30ED"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1E4AA1"/>
    <w:rsid w:val="003E6D12"/>
    <w:rsid w:val="005A45A4"/>
    <w:rsid w:val="005B30ED"/>
    <w:rsid w:val="00601832"/>
    <w:rsid w:val="007B5BAB"/>
    <w:rsid w:val="007F32F6"/>
    <w:rsid w:val="008570F2"/>
    <w:rsid w:val="008A729F"/>
    <w:rsid w:val="00DB67CB"/>
    <w:rsid w:val="00F7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uilabel">
    <w:name w:val="quilabel"/>
    <w:basedOn w:val="Normale"/>
    <w:rsid w:val="006018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3943">
      <w:bodyDiv w:val="1"/>
      <w:marLeft w:val="0"/>
      <w:marRight w:val="0"/>
      <w:marTop w:val="0"/>
      <w:marBottom w:val="0"/>
      <w:divBdr>
        <w:top w:val="none" w:sz="0" w:space="0" w:color="auto"/>
        <w:left w:val="none" w:sz="0" w:space="0" w:color="auto"/>
        <w:bottom w:val="none" w:sz="0" w:space="0" w:color="auto"/>
        <w:right w:val="none" w:sz="0" w:space="0" w:color="auto"/>
      </w:divBdr>
      <w:divsChild>
        <w:div w:id="1162308098">
          <w:marLeft w:val="0"/>
          <w:marRight w:val="0"/>
          <w:marTop w:val="0"/>
          <w:marBottom w:val="345"/>
          <w:divBdr>
            <w:top w:val="none" w:sz="0" w:space="0" w:color="auto"/>
            <w:left w:val="none" w:sz="0" w:space="0" w:color="auto"/>
            <w:bottom w:val="none" w:sz="0" w:space="0" w:color="auto"/>
            <w:right w:val="none" w:sz="0" w:space="0" w:color="auto"/>
          </w:divBdr>
        </w:div>
        <w:div w:id="1785228313">
          <w:marLeft w:val="0"/>
          <w:marRight w:val="0"/>
          <w:marTop w:val="0"/>
          <w:marBottom w:val="900"/>
          <w:divBdr>
            <w:top w:val="none" w:sz="0" w:space="0" w:color="auto"/>
            <w:left w:val="none" w:sz="0" w:space="0" w:color="auto"/>
            <w:bottom w:val="none" w:sz="0" w:space="0" w:color="auto"/>
            <w:right w:val="none" w:sz="0" w:space="0" w:color="auto"/>
          </w:divBdr>
        </w:div>
      </w:divsChild>
    </w:div>
    <w:div w:id="446198911">
      <w:bodyDiv w:val="1"/>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150"/>
          <w:marBottom w:val="0"/>
          <w:divBdr>
            <w:top w:val="none" w:sz="0" w:space="0" w:color="auto"/>
            <w:left w:val="none" w:sz="0" w:space="0" w:color="auto"/>
            <w:bottom w:val="none" w:sz="0" w:space="0" w:color="auto"/>
            <w:right w:val="none" w:sz="0" w:space="0" w:color="auto"/>
          </w:divBdr>
          <w:divsChild>
            <w:div w:id="447361282">
              <w:marLeft w:val="0"/>
              <w:marRight w:val="0"/>
              <w:marTop w:val="0"/>
              <w:marBottom w:val="180"/>
              <w:divBdr>
                <w:top w:val="none" w:sz="0" w:space="0" w:color="auto"/>
                <w:left w:val="none" w:sz="0" w:space="0" w:color="auto"/>
                <w:bottom w:val="none" w:sz="0" w:space="0" w:color="auto"/>
                <w:right w:val="none" w:sz="0" w:space="0" w:color="auto"/>
              </w:divBdr>
            </w:div>
          </w:divsChild>
        </w:div>
        <w:div w:id="650135531">
          <w:marLeft w:val="0"/>
          <w:marRight w:val="0"/>
          <w:marTop w:val="0"/>
          <w:marBottom w:val="0"/>
          <w:divBdr>
            <w:top w:val="none" w:sz="0" w:space="0" w:color="auto"/>
            <w:left w:val="none" w:sz="0" w:space="0" w:color="auto"/>
            <w:bottom w:val="none" w:sz="0" w:space="0" w:color="auto"/>
            <w:right w:val="none" w:sz="0" w:space="0" w:color="auto"/>
          </w:divBdr>
        </w:div>
      </w:divsChild>
    </w:div>
    <w:div w:id="1298955215">
      <w:bodyDiv w:val="1"/>
      <w:marLeft w:val="0"/>
      <w:marRight w:val="0"/>
      <w:marTop w:val="0"/>
      <w:marBottom w:val="0"/>
      <w:divBdr>
        <w:top w:val="none" w:sz="0" w:space="0" w:color="auto"/>
        <w:left w:val="none" w:sz="0" w:space="0" w:color="auto"/>
        <w:bottom w:val="none" w:sz="0" w:space="0" w:color="auto"/>
        <w:right w:val="none" w:sz="0" w:space="0" w:color="auto"/>
      </w:divBdr>
      <w:divsChild>
        <w:div w:id="1831480945">
          <w:marLeft w:val="0"/>
          <w:marRight w:val="0"/>
          <w:marTop w:val="0"/>
          <w:marBottom w:val="0"/>
          <w:divBdr>
            <w:top w:val="none" w:sz="0" w:space="0" w:color="auto"/>
            <w:left w:val="none" w:sz="0" w:space="0" w:color="auto"/>
            <w:bottom w:val="none" w:sz="0" w:space="0" w:color="auto"/>
            <w:right w:val="none" w:sz="0" w:space="0" w:color="auto"/>
          </w:divBdr>
        </w:div>
        <w:div w:id="874924258">
          <w:marLeft w:val="0"/>
          <w:marRight w:val="0"/>
          <w:marTop w:val="150"/>
          <w:marBottom w:val="0"/>
          <w:divBdr>
            <w:top w:val="none" w:sz="0" w:space="0" w:color="auto"/>
            <w:left w:val="none" w:sz="0" w:space="0" w:color="auto"/>
            <w:bottom w:val="none" w:sz="0" w:space="0" w:color="auto"/>
            <w:right w:val="none" w:sz="0" w:space="0" w:color="auto"/>
          </w:divBdr>
          <w:divsChild>
            <w:div w:id="1305548386">
              <w:marLeft w:val="0"/>
              <w:marRight w:val="0"/>
              <w:marTop w:val="0"/>
              <w:marBottom w:val="180"/>
              <w:divBdr>
                <w:top w:val="none" w:sz="0" w:space="0" w:color="auto"/>
                <w:left w:val="none" w:sz="0" w:space="0" w:color="auto"/>
                <w:bottom w:val="none" w:sz="0" w:space="0" w:color="auto"/>
                <w:right w:val="none" w:sz="0" w:space="0" w:color="auto"/>
              </w:divBdr>
            </w:div>
          </w:divsChild>
        </w:div>
        <w:div w:id="576356009">
          <w:marLeft w:val="0"/>
          <w:marRight w:val="0"/>
          <w:marTop w:val="0"/>
          <w:marBottom w:val="0"/>
          <w:divBdr>
            <w:top w:val="none" w:sz="0" w:space="0" w:color="auto"/>
            <w:left w:val="none" w:sz="0" w:space="0" w:color="auto"/>
            <w:bottom w:val="none" w:sz="0" w:space="0" w:color="auto"/>
            <w:right w:val="none" w:sz="0" w:space="0" w:color="auto"/>
          </w:divBdr>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5275">
      <w:bodyDiv w:val="1"/>
      <w:marLeft w:val="0"/>
      <w:marRight w:val="0"/>
      <w:marTop w:val="0"/>
      <w:marBottom w:val="0"/>
      <w:divBdr>
        <w:top w:val="none" w:sz="0" w:space="0" w:color="auto"/>
        <w:left w:val="none" w:sz="0" w:space="0" w:color="auto"/>
        <w:bottom w:val="none" w:sz="0" w:space="0" w:color="auto"/>
        <w:right w:val="none" w:sz="0" w:space="0" w:color="auto"/>
      </w:divBdr>
      <w:divsChild>
        <w:div w:id="828400022">
          <w:marLeft w:val="0"/>
          <w:marRight w:val="0"/>
          <w:marTop w:val="0"/>
          <w:marBottom w:val="345"/>
          <w:divBdr>
            <w:top w:val="none" w:sz="0" w:space="0" w:color="auto"/>
            <w:left w:val="none" w:sz="0" w:space="0" w:color="auto"/>
            <w:bottom w:val="none" w:sz="0" w:space="0" w:color="auto"/>
            <w:right w:val="none" w:sz="0" w:space="0" w:color="auto"/>
          </w:divBdr>
        </w:div>
        <w:div w:id="1249731253">
          <w:marLeft w:val="0"/>
          <w:marRight w:val="0"/>
          <w:marTop w:val="0"/>
          <w:marBottom w:val="900"/>
          <w:divBdr>
            <w:top w:val="none" w:sz="0" w:space="0" w:color="auto"/>
            <w:left w:val="none" w:sz="0" w:space="0" w:color="auto"/>
            <w:bottom w:val="none" w:sz="0" w:space="0" w:color="auto"/>
            <w:right w:val="none" w:sz="0" w:space="0" w:color="auto"/>
          </w:divBdr>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canaeventinews.it/category/focus-home/" TargetMode="External"/><Relationship Id="rId3" Type="http://schemas.openxmlformats.org/officeDocument/2006/relationships/settings" Target="settings.xml"/><Relationship Id="rId7" Type="http://schemas.openxmlformats.org/officeDocument/2006/relationships/hyperlink" Target="https://www.toscanaeventinews.it/consulta-dellambito-turistico-costa-degli-etruschi-definito-il-profilo-dei-prodotti-turistici-per-il-catalogo-2021-integrare-lofferta-turistica-e-migliorare-la-visibilita-della-destinazi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scanaeventinews.it/category/livorno-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2021-01-07T17:49:00Z</dcterms:created>
  <dcterms:modified xsi:type="dcterms:W3CDTF">2021-01-07T17:49:00Z</dcterms:modified>
</cp:coreProperties>
</file>